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泉州市医用耗材联合带量采购联盟关于首批医用耗材带量采购谈判公告补充说明</w:t>
      </w:r>
    </w:p>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仿宋_GB2312" w:eastAsia="仿宋_GB2312"/>
          <w:sz w:val="32"/>
          <w:szCs w:val="32"/>
        </w:rPr>
      </w:pPr>
      <w:r>
        <w:rPr>
          <w:rFonts w:hint="eastAsia" w:ascii="仿宋_GB2312" w:eastAsia="仿宋_GB2312"/>
          <w:sz w:val="32"/>
          <w:szCs w:val="32"/>
        </w:rPr>
        <w:t>各有关耗材生产企业和供应商：</w:t>
      </w:r>
    </w:p>
    <w:p>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仿宋_GB2312" w:eastAsia="仿宋_GB2312"/>
          <w:sz w:val="32"/>
          <w:szCs w:val="32"/>
        </w:rPr>
      </w:pPr>
      <w:r>
        <w:rPr>
          <w:rFonts w:hint="eastAsia" w:ascii="仿宋_GB2312" w:eastAsia="仿宋_GB2312"/>
          <w:sz w:val="32"/>
          <w:szCs w:val="32"/>
        </w:rPr>
        <w:t xml:space="preserve">    现就泉州市首批医用耗材带量采购谈判公告未尽事宜补充说明如下，请务必认真阅读。</w:t>
      </w:r>
    </w:p>
    <w:p>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仿宋_GB2312" w:eastAsia="仿宋_GB2312"/>
          <w:sz w:val="32"/>
          <w:szCs w:val="32"/>
        </w:rPr>
      </w:pPr>
      <w:r>
        <w:rPr>
          <w:rFonts w:hint="eastAsia" w:ascii="黑体" w:hAnsi="黑体" w:eastAsia="黑体" w:cs="黑体"/>
          <w:sz w:val="32"/>
          <w:szCs w:val="32"/>
        </w:rPr>
        <w:t xml:space="preserve">    一、关于加权报价如何计算的说明</w:t>
      </w:r>
    </w:p>
    <w:p>
      <w:pPr>
        <w:keepNext w:val="0"/>
        <w:keepLines w:val="0"/>
        <w:pageBreakBefore w:val="0"/>
        <w:kinsoku/>
        <w:wordWrap/>
        <w:overflowPunct/>
        <w:topLinePunct w:val="0"/>
        <w:autoSpaceDE/>
        <w:autoSpaceDN/>
        <w:bidi w:val="0"/>
        <w:adjustRightInd w:val="0"/>
        <w:snapToGrid w:val="0"/>
        <w:spacing w:line="440" w:lineRule="exact"/>
        <w:ind w:firstLine="640"/>
        <w:jc w:val="left"/>
        <w:textAlignment w:val="auto"/>
        <w:rPr>
          <w:rFonts w:ascii="仿宋_GB2312" w:eastAsia="仿宋_GB2312"/>
          <w:sz w:val="32"/>
          <w:szCs w:val="32"/>
        </w:rPr>
      </w:pPr>
      <w:r>
        <w:rPr>
          <w:rFonts w:hint="eastAsia" w:ascii="仿宋_GB2312" w:eastAsia="仿宋_GB2312"/>
          <w:sz w:val="32"/>
          <w:szCs w:val="32"/>
        </w:rPr>
        <w:t>以一次性使用鼻氧管为例，假设A厂家首轮报价如下表：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563"/>
        <w:gridCol w:w="896"/>
        <w:gridCol w:w="1155"/>
        <w:gridCol w:w="1382"/>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081" w:type="dxa"/>
            <w:gridSpan w:val="3"/>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生产企业/进口总代理(盖</w:t>
            </w:r>
            <w:r>
              <w:rPr>
                <w:rFonts w:ascii="仿宋_GB2312" w:hAnsi="微软雅黑" w:eastAsia="仿宋_GB2312" w:cs="宋体"/>
                <w:color w:val="333333"/>
                <w:kern w:val="0"/>
                <w:sz w:val="28"/>
                <w:szCs w:val="28"/>
              </w:rPr>
              <w:t>章</w:t>
            </w:r>
            <w:r>
              <w:rPr>
                <w:rFonts w:hint="eastAsia" w:ascii="仿宋_GB2312" w:hAnsi="微软雅黑" w:eastAsia="仿宋_GB2312" w:cs="宋体"/>
                <w:color w:val="333333"/>
                <w:kern w:val="0"/>
                <w:sz w:val="28"/>
                <w:szCs w:val="28"/>
              </w:rPr>
              <w:t>)</w:t>
            </w:r>
            <w:r>
              <w:rPr>
                <w:rFonts w:ascii="仿宋_GB2312" w:hAnsi="微软雅黑" w:eastAsia="仿宋_GB2312" w:cs="宋体"/>
                <w:color w:val="333333"/>
                <w:kern w:val="0"/>
                <w:sz w:val="28"/>
                <w:szCs w:val="28"/>
              </w:rPr>
              <w:t>:</w:t>
            </w:r>
          </w:p>
        </w:tc>
        <w:tc>
          <w:tcPr>
            <w:tcW w:w="4441" w:type="dxa"/>
            <w:gridSpan w:val="3"/>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A厂家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2" w:type="dxa"/>
            <w:vAlign w:val="center"/>
          </w:tcPr>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产</w:t>
            </w:r>
            <w:r>
              <w:rPr>
                <w:rFonts w:ascii="仿宋_GB2312" w:hAnsi="微软雅黑" w:eastAsia="仿宋_GB2312" w:cs="宋体"/>
                <w:color w:val="333333"/>
                <w:kern w:val="0"/>
                <w:sz w:val="28"/>
                <w:szCs w:val="28"/>
              </w:rPr>
              <w:t>品名称</w:t>
            </w:r>
          </w:p>
        </w:tc>
        <w:tc>
          <w:tcPr>
            <w:tcW w:w="1563" w:type="dxa"/>
            <w:vAlign w:val="center"/>
          </w:tcPr>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ascii="仿宋_GB2312" w:hAnsi="微软雅黑" w:eastAsia="仿宋_GB2312" w:cs="宋体"/>
                <w:color w:val="333333"/>
                <w:kern w:val="0"/>
                <w:sz w:val="28"/>
                <w:szCs w:val="28"/>
              </w:rPr>
              <w:t>规格型号</w:t>
            </w:r>
          </w:p>
        </w:tc>
        <w:tc>
          <w:tcPr>
            <w:tcW w:w="205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申报报价</w:t>
            </w:r>
          </w:p>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（支/条/套）</w:t>
            </w:r>
          </w:p>
        </w:tc>
        <w:tc>
          <w:tcPr>
            <w:tcW w:w="1382" w:type="dxa"/>
            <w:vAlign w:val="center"/>
          </w:tcPr>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规格型号权重</w:t>
            </w:r>
          </w:p>
        </w:tc>
        <w:tc>
          <w:tcPr>
            <w:tcW w:w="1904" w:type="dxa"/>
            <w:vAlign w:val="center"/>
          </w:tcPr>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权重报价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2"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w:t>
            </w:r>
          </w:p>
        </w:tc>
        <w:tc>
          <w:tcPr>
            <w:tcW w:w="1563"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w:t>
            </w:r>
          </w:p>
        </w:tc>
        <w:tc>
          <w:tcPr>
            <w:tcW w:w="2051" w:type="dxa"/>
            <w:gridSpan w:val="2"/>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w:t>
            </w:r>
          </w:p>
        </w:tc>
        <w:tc>
          <w:tcPr>
            <w:tcW w:w="1382"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w:t>
            </w:r>
          </w:p>
        </w:tc>
        <w:tc>
          <w:tcPr>
            <w:tcW w:w="1904"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2" w:type="dxa"/>
            <w:vAlign w:val="center"/>
          </w:tcPr>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eastAsia="仿宋_GB2312"/>
                <w:sz w:val="28"/>
                <w:szCs w:val="28"/>
              </w:rPr>
              <w:t>一次性使用鼻氧管</w:t>
            </w:r>
          </w:p>
        </w:tc>
        <w:tc>
          <w:tcPr>
            <w:tcW w:w="1563"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单鼻</w:t>
            </w:r>
          </w:p>
        </w:tc>
        <w:tc>
          <w:tcPr>
            <w:tcW w:w="2051" w:type="dxa"/>
            <w:gridSpan w:val="2"/>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1元</w:t>
            </w:r>
          </w:p>
        </w:tc>
        <w:tc>
          <w:tcPr>
            <w:tcW w:w="1382"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75%</w:t>
            </w:r>
          </w:p>
        </w:tc>
        <w:tc>
          <w:tcPr>
            <w:tcW w:w="1904"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0.75元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22" w:type="dxa"/>
            <w:vAlign w:val="center"/>
          </w:tcPr>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eastAsia="仿宋_GB2312"/>
                <w:sz w:val="28"/>
                <w:szCs w:val="28"/>
              </w:rPr>
              <w:t>一次性使用鼻氧管</w:t>
            </w:r>
          </w:p>
        </w:tc>
        <w:tc>
          <w:tcPr>
            <w:tcW w:w="1563"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双鼻</w:t>
            </w:r>
          </w:p>
        </w:tc>
        <w:tc>
          <w:tcPr>
            <w:tcW w:w="2051" w:type="dxa"/>
            <w:gridSpan w:val="2"/>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1.2元</w:t>
            </w:r>
          </w:p>
        </w:tc>
        <w:tc>
          <w:tcPr>
            <w:tcW w:w="1382"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25%</w:t>
            </w:r>
          </w:p>
        </w:tc>
        <w:tc>
          <w:tcPr>
            <w:tcW w:w="1904"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0.3元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22" w:type="dxa"/>
            <w:gridSpan w:val="6"/>
          </w:tcPr>
          <w:p>
            <w:pPr>
              <w:keepNext w:val="0"/>
              <w:keepLines w:val="0"/>
              <w:pageBreakBefore w:val="0"/>
              <w:widowControl/>
              <w:kinsoku/>
              <w:wordWrap/>
              <w:overflowPunct/>
              <w:topLinePunct w:val="0"/>
              <w:autoSpaceDE/>
              <w:autoSpaceDN/>
              <w:bidi w:val="0"/>
              <w:spacing w:line="440" w:lineRule="exact"/>
              <w:ind w:right="45"/>
              <w:textAlignment w:val="auto"/>
              <w:rPr>
                <w:rFonts w:ascii="仿宋_GB2312" w:hAnsi="微软雅黑" w:eastAsia="仿宋_GB2312" w:cs="宋体"/>
                <w:color w:val="333333"/>
                <w:kern w:val="0"/>
                <w:sz w:val="31"/>
              </w:rPr>
            </w:pPr>
            <w:r>
              <w:rPr>
                <w:rFonts w:hint="eastAsia" w:ascii="仿宋_GB2312" w:hAnsi="微软雅黑" w:eastAsia="仿宋_GB2312" w:cs="宋体"/>
                <w:color w:val="333333"/>
                <w:kern w:val="0"/>
                <w:sz w:val="31"/>
              </w:rPr>
              <w:t>合计加权报价：1.05元</w:t>
            </w:r>
          </w:p>
        </w:tc>
      </w:tr>
    </w:tbl>
    <w:p>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仿宋_GB2312" w:eastAsia="仿宋_GB2312"/>
          <w:sz w:val="32"/>
          <w:szCs w:val="32"/>
        </w:rPr>
      </w:pPr>
      <w:r>
        <w:rPr>
          <w:rFonts w:hint="eastAsia" w:ascii="仿宋_GB2312" w:eastAsia="仿宋_GB2312"/>
          <w:sz w:val="32"/>
          <w:szCs w:val="32"/>
        </w:rPr>
        <w:t>则1.05元为A厂家一次性使用鼻氧管的加权报价。</w:t>
      </w:r>
    </w:p>
    <w:p>
      <w:pPr>
        <w:keepNext w:val="0"/>
        <w:keepLines w:val="0"/>
        <w:pageBreakBefore w:val="0"/>
        <w:numPr>
          <w:numId w:val="0"/>
        </w:numPr>
        <w:kinsoku/>
        <w:wordWrap/>
        <w:overflowPunct/>
        <w:topLinePunct w:val="0"/>
        <w:autoSpaceDE/>
        <w:autoSpaceDN/>
        <w:bidi w:val="0"/>
        <w:adjustRightInd w:val="0"/>
        <w:snapToGrid w:val="0"/>
        <w:spacing w:line="4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二、关于首轮评分的计算说明</w:t>
      </w:r>
    </w:p>
    <w:p>
      <w:pPr>
        <w:keepNext w:val="0"/>
        <w:keepLines w:val="0"/>
        <w:pageBreakBefore w:val="0"/>
        <w:numPr>
          <w:numId w:val="0"/>
        </w:numPr>
        <w:kinsoku/>
        <w:wordWrap/>
        <w:overflowPunct/>
        <w:topLinePunct w:val="0"/>
        <w:autoSpaceDE/>
        <w:autoSpaceDN/>
        <w:bidi w:val="0"/>
        <w:adjustRightInd w:val="0"/>
        <w:snapToGrid w:val="0"/>
        <w:spacing w:line="440" w:lineRule="exact"/>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由联盟组织专家按照《首轮综合评分表》进行评分，去掉最高分及最低分后的平均分即为报价厂家首轮评分得分。</w:t>
      </w:r>
    </w:p>
    <w:p>
      <w:pPr>
        <w:keepNext w:val="0"/>
        <w:keepLines w:val="0"/>
        <w:pageBreakBefore w:val="0"/>
        <w:numPr>
          <w:numId w:val="0"/>
        </w:numPr>
        <w:kinsoku/>
        <w:wordWrap/>
        <w:overflowPunct/>
        <w:topLinePunct w:val="0"/>
        <w:autoSpaceDE/>
        <w:autoSpaceDN/>
        <w:bidi w:val="0"/>
        <w:adjustRightInd w:val="0"/>
        <w:snapToGrid w:val="0"/>
        <w:spacing w:line="44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关于二次降幅评分计算说明</w:t>
      </w:r>
      <w:r>
        <w:rPr>
          <w:rFonts w:ascii="黑体" w:hAnsi="黑体" w:eastAsia="黑体" w:cs="黑体"/>
          <w:sz w:val="32"/>
          <w:szCs w:val="32"/>
        </w:rPr>
        <w:t xml:space="preserve"> </w:t>
      </w:r>
    </w:p>
    <w:p>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仿宋_GB2312" w:eastAsia="仿宋_GB2312"/>
          <w:sz w:val="32"/>
          <w:szCs w:val="32"/>
        </w:rPr>
      </w:pPr>
      <w:r>
        <w:rPr>
          <w:rFonts w:hint="eastAsia" w:ascii="仿宋_GB2312" w:eastAsia="仿宋_GB2312"/>
          <w:sz w:val="32"/>
          <w:szCs w:val="32"/>
        </w:rPr>
        <w:t xml:space="preserve">    假设上例中的A厂家首轮评分得分为85分且入围第二轮，在第二轮中的报价如下：</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563"/>
        <w:gridCol w:w="896"/>
        <w:gridCol w:w="1155"/>
        <w:gridCol w:w="1382"/>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081" w:type="dxa"/>
            <w:gridSpan w:val="3"/>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生产企业/进口总代理(盖</w:t>
            </w:r>
            <w:r>
              <w:rPr>
                <w:rFonts w:ascii="仿宋_GB2312" w:hAnsi="微软雅黑" w:eastAsia="仿宋_GB2312" w:cs="宋体"/>
                <w:color w:val="333333"/>
                <w:kern w:val="0"/>
                <w:sz w:val="28"/>
                <w:szCs w:val="28"/>
              </w:rPr>
              <w:t>章</w:t>
            </w:r>
            <w:r>
              <w:rPr>
                <w:rFonts w:hint="eastAsia" w:ascii="仿宋_GB2312" w:hAnsi="微软雅黑" w:eastAsia="仿宋_GB2312" w:cs="宋体"/>
                <w:color w:val="333333"/>
                <w:kern w:val="0"/>
                <w:sz w:val="28"/>
                <w:szCs w:val="28"/>
              </w:rPr>
              <w:t>)</w:t>
            </w:r>
            <w:r>
              <w:rPr>
                <w:rFonts w:ascii="仿宋_GB2312" w:hAnsi="微软雅黑" w:eastAsia="仿宋_GB2312" w:cs="宋体"/>
                <w:color w:val="333333"/>
                <w:kern w:val="0"/>
                <w:sz w:val="28"/>
                <w:szCs w:val="28"/>
              </w:rPr>
              <w:t>:</w:t>
            </w:r>
          </w:p>
        </w:tc>
        <w:tc>
          <w:tcPr>
            <w:tcW w:w="4441" w:type="dxa"/>
            <w:gridSpan w:val="3"/>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A厂家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622" w:type="dxa"/>
            <w:vAlign w:val="center"/>
          </w:tcPr>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产</w:t>
            </w:r>
            <w:r>
              <w:rPr>
                <w:rFonts w:ascii="仿宋_GB2312" w:hAnsi="微软雅黑" w:eastAsia="仿宋_GB2312" w:cs="宋体"/>
                <w:color w:val="333333"/>
                <w:kern w:val="0"/>
                <w:sz w:val="28"/>
                <w:szCs w:val="28"/>
              </w:rPr>
              <w:t>品名称</w:t>
            </w:r>
          </w:p>
        </w:tc>
        <w:tc>
          <w:tcPr>
            <w:tcW w:w="1563" w:type="dxa"/>
            <w:vAlign w:val="center"/>
          </w:tcPr>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ascii="仿宋_GB2312" w:hAnsi="微软雅黑" w:eastAsia="仿宋_GB2312" w:cs="宋体"/>
                <w:color w:val="333333"/>
                <w:kern w:val="0"/>
                <w:sz w:val="28"/>
                <w:szCs w:val="28"/>
              </w:rPr>
              <w:t>规格型号</w:t>
            </w:r>
          </w:p>
        </w:tc>
        <w:tc>
          <w:tcPr>
            <w:tcW w:w="205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申报报价</w:t>
            </w:r>
          </w:p>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（支/条/套）</w:t>
            </w:r>
          </w:p>
        </w:tc>
        <w:tc>
          <w:tcPr>
            <w:tcW w:w="1382" w:type="dxa"/>
            <w:vAlign w:val="center"/>
          </w:tcPr>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规格型号权重</w:t>
            </w:r>
          </w:p>
        </w:tc>
        <w:tc>
          <w:tcPr>
            <w:tcW w:w="1904" w:type="dxa"/>
            <w:vAlign w:val="center"/>
          </w:tcPr>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权重报价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22"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w:t>
            </w:r>
          </w:p>
        </w:tc>
        <w:tc>
          <w:tcPr>
            <w:tcW w:w="1563"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2051" w:type="dxa"/>
            <w:gridSpan w:val="2"/>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3</w:t>
            </w:r>
          </w:p>
        </w:tc>
        <w:tc>
          <w:tcPr>
            <w:tcW w:w="1382"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1904"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2" w:type="dxa"/>
            <w:vAlign w:val="center"/>
          </w:tcPr>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eastAsia="仿宋_GB2312"/>
                <w:sz w:val="28"/>
                <w:szCs w:val="28"/>
              </w:rPr>
              <w:t>一次性使用鼻氧管</w:t>
            </w:r>
          </w:p>
        </w:tc>
        <w:tc>
          <w:tcPr>
            <w:tcW w:w="1563"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单鼻</w:t>
            </w:r>
          </w:p>
        </w:tc>
        <w:tc>
          <w:tcPr>
            <w:tcW w:w="2051" w:type="dxa"/>
            <w:gridSpan w:val="2"/>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0.8元</w:t>
            </w:r>
          </w:p>
        </w:tc>
        <w:tc>
          <w:tcPr>
            <w:tcW w:w="1382"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75%</w:t>
            </w:r>
          </w:p>
        </w:tc>
        <w:tc>
          <w:tcPr>
            <w:tcW w:w="1904"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0.6元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22" w:type="dxa"/>
            <w:vAlign w:val="center"/>
          </w:tcPr>
          <w:p>
            <w:pPr>
              <w:keepNext w:val="0"/>
              <w:keepLines w:val="0"/>
              <w:pageBreakBefore w:val="0"/>
              <w:widowControl/>
              <w:kinsoku/>
              <w:wordWrap/>
              <w:overflowPunct/>
              <w:topLinePunct w:val="0"/>
              <w:autoSpaceDE/>
              <w:autoSpaceDN/>
              <w:bidi w:val="0"/>
              <w:adjustRightInd/>
              <w:snapToGrid/>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eastAsia="仿宋_GB2312"/>
                <w:sz w:val="28"/>
                <w:szCs w:val="28"/>
              </w:rPr>
              <w:t>一次性使用鼻氧管</w:t>
            </w:r>
          </w:p>
        </w:tc>
        <w:tc>
          <w:tcPr>
            <w:tcW w:w="1563"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双鼻</w:t>
            </w:r>
          </w:p>
        </w:tc>
        <w:tc>
          <w:tcPr>
            <w:tcW w:w="2051" w:type="dxa"/>
            <w:gridSpan w:val="2"/>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1元</w:t>
            </w:r>
          </w:p>
        </w:tc>
        <w:tc>
          <w:tcPr>
            <w:tcW w:w="1382"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25%</w:t>
            </w:r>
          </w:p>
        </w:tc>
        <w:tc>
          <w:tcPr>
            <w:tcW w:w="1904" w:type="dxa"/>
            <w:vAlign w:val="center"/>
          </w:tcPr>
          <w:p>
            <w:pPr>
              <w:keepNext w:val="0"/>
              <w:keepLines w:val="0"/>
              <w:pageBreakBefore w:val="0"/>
              <w:widowControl/>
              <w:kinsoku/>
              <w:wordWrap/>
              <w:overflowPunct/>
              <w:topLinePunct w:val="0"/>
              <w:autoSpaceDE/>
              <w:autoSpaceDN/>
              <w:bidi w:val="0"/>
              <w:spacing w:line="440" w:lineRule="exact"/>
              <w:ind w:right="45"/>
              <w:jc w:val="center"/>
              <w:textAlignment w:val="auto"/>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0.25元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22" w:type="dxa"/>
            <w:gridSpan w:val="6"/>
          </w:tcPr>
          <w:p>
            <w:pPr>
              <w:keepNext w:val="0"/>
              <w:keepLines w:val="0"/>
              <w:pageBreakBefore w:val="0"/>
              <w:widowControl/>
              <w:kinsoku/>
              <w:wordWrap/>
              <w:overflowPunct/>
              <w:topLinePunct w:val="0"/>
              <w:autoSpaceDE/>
              <w:autoSpaceDN/>
              <w:bidi w:val="0"/>
              <w:spacing w:line="440" w:lineRule="exact"/>
              <w:ind w:right="45"/>
              <w:textAlignment w:val="auto"/>
              <w:rPr>
                <w:rFonts w:ascii="仿宋_GB2312" w:hAnsi="微软雅黑" w:eastAsia="仿宋_GB2312" w:cs="宋体"/>
                <w:color w:val="333333"/>
                <w:kern w:val="0"/>
                <w:sz w:val="31"/>
              </w:rPr>
            </w:pPr>
            <w:r>
              <w:rPr>
                <w:rFonts w:hint="eastAsia" w:ascii="仿宋_GB2312" w:hAnsi="微软雅黑" w:eastAsia="仿宋_GB2312" w:cs="宋体"/>
                <w:color w:val="333333"/>
                <w:kern w:val="0"/>
                <w:sz w:val="31"/>
              </w:rPr>
              <w:t>合计加权报价：0.85元</w:t>
            </w:r>
          </w:p>
        </w:tc>
      </w:tr>
    </w:tbl>
    <w:p>
      <w:pPr>
        <w:keepNext w:val="0"/>
        <w:keepLines w:val="0"/>
        <w:pageBreakBefore w:val="0"/>
        <w:kinsoku/>
        <w:wordWrap/>
        <w:overflowPunct/>
        <w:topLinePunct w:val="0"/>
        <w:autoSpaceDE/>
        <w:autoSpaceDN/>
        <w:bidi w:val="0"/>
        <w:adjustRightInd w:val="0"/>
        <w:snapToGrid w:val="0"/>
        <w:spacing w:line="440" w:lineRule="exact"/>
        <w:ind w:firstLine="634"/>
        <w:jc w:val="left"/>
        <w:textAlignment w:val="auto"/>
        <w:rPr>
          <w:rFonts w:ascii="仿宋_GB2312" w:eastAsia="仿宋_GB2312"/>
          <w:b/>
          <w:bCs/>
          <w:sz w:val="32"/>
          <w:szCs w:val="32"/>
        </w:rPr>
      </w:pPr>
      <w:r>
        <w:rPr>
          <w:rFonts w:hint="eastAsia" w:ascii="仿宋_GB2312" w:eastAsia="仿宋_GB2312"/>
          <w:sz w:val="32"/>
          <w:szCs w:val="32"/>
        </w:rPr>
        <w:t>其第二轮加权报价为0.85元，相较于第一轮加权报价1.05元，二次降幅19.048%，计算方法为（1.05-0.85）/1.05，原则上按四舍五入取小数点后三位，若分数相同则比较小数点后第四位，依次类推。其二次降幅得分即为19.048分。</w:t>
      </w:r>
      <w:r>
        <w:rPr>
          <w:rFonts w:hint="eastAsia" w:ascii="仿宋_GB2312" w:eastAsia="仿宋_GB2312"/>
          <w:b/>
          <w:bCs/>
          <w:sz w:val="32"/>
          <w:szCs w:val="32"/>
        </w:rPr>
        <w:t>其最终得分为85分+19.048分=104.048分。</w:t>
      </w:r>
    </w:p>
    <w:p>
      <w:pPr>
        <w:keepNext w:val="0"/>
        <w:keepLines w:val="0"/>
        <w:pageBreakBefore w:val="0"/>
        <w:kinsoku/>
        <w:wordWrap/>
        <w:overflowPunct/>
        <w:topLinePunct w:val="0"/>
        <w:autoSpaceDE/>
        <w:autoSpaceDN/>
        <w:bidi w:val="0"/>
        <w:adjustRightInd w:val="0"/>
        <w:snapToGrid w:val="0"/>
        <w:spacing w:line="440" w:lineRule="exact"/>
        <w:ind w:firstLine="634"/>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、关于厂家中选后供应价格说明</w:t>
      </w:r>
    </w:p>
    <w:p>
      <w:pPr>
        <w:keepNext w:val="0"/>
        <w:keepLines w:val="0"/>
        <w:pageBreakBefore w:val="0"/>
        <w:kinsoku/>
        <w:wordWrap/>
        <w:overflowPunct/>
        <w:topLinePunct w:val="0"/>
        <w:autoSpaceDE/>
        <w:autoSpaceDN/>
        <w:bidi w:val="0"/>
        <w:adjustRightInd w:val="0"/>
        <w:snapToGrid w:val="0"/>
        <w:spacing w:line="440" w:lineRule="exact"/>
        <w:ind w:firstLine="640"/>
        <w:jc w:val="left"/>
        <w:textAlignment w:val="auto"/>
        <w:rPr>
          <w:rFonts w:ascii="仿宋_GB2312" w:eastAsia="仿宋_GB2312"/>
          <w:sz w:val="32"/>
          <w:szCs w:val="32"/>
        </w:rPr>
      </w:pPr>
      <w:r>
        <w:rPr>
          <w:rFonts w:hint="eastAsia" w:ascii="仿宋_GB2312" w:eastAsia="仿宋_GB2312"/>
          <w:sz w:val="32"/>
          <w:szCs w:val="32"/>
        </w:rPr>
        <w:t>假设上例中的A厂家为最终中选厂家，该厂家中选供应价为第二轮申报报价：单鼻0.8元/条、双鼻1元/条。</w:t>
      </w:r>
    </w:p>
    <w:p>
      <w:pPr>
        <w:keepNext w:val="0"/>
        <w:keepLines w:val="0"/>
        <w:pageBreakBefore w:val="0"/>
        <w:kinsoku/>
        <w:wordWrap/>
        <w:overflowPunct/>
        <w:topLinePunct w:val="0"/>
        <w:autoSpaceDE/>
        <w:autoSpaceDN/>
        <w:bidi w:val="0"/>
        <w:adjustRightInd w:val="0"/>
        <w:snapToGrid w:val="0"/>
        <w:spacing w:line="440" w:lineRule="exact"/>
        <w:ind w:firstLine="640"/>
        <w:jc w:val="left"/>
        <w:textAlignment w:val="auto"/>
        <w:rPr>
          <w:rFonts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、关于一次性使用吸氧管（一体式吸氧管）型号界定的说明</w:t>
      </w:r>
    </w:p>
    <w:p>
      <w:pPr>
        <w:keepNext w:val="0"/>
        <w:keepLines w:val="0"/>
        <w:pageBreakBefore w:val="0"/>
        <w:kinsoku/>
        <w:wordWrap/>
        <w:overflowPunct/>
        <w:topLinePunct w:val="0"/>
        <w:autoSpaceDE/>
        <w:autoSpaceDN/>
        <w:bidi w:val="0"/>
        <w:adjustRightInd w:val="0"/>
        <w:snapToGrid w:val="0"/>
        <w:spacing w:line="440" w:lineRule="exact"/>
        <w:ind w:firstLine="640"/>
        <w:jc w:val="left"/>
        <w:textAlignment w:val="auto"/>
        <w:rPr>
          <w:rFonts w:ascii="仿宋_GB2312" w:eastAsia="仿宋_GB2312"/>
          <w:sz w:val="32"/>
          <w:szCs w:val="32"/>
        </w:rPr>
      </w:pPr>
      <w:r>
        <w:rPr>
          <w:rFonts w:hint="eastAsia" w:ascii="仿宋_GB2312" w:eastAsia="仿宋_GB2312"/>
          <w:sz w:val="32"/>
          <w:szCs w:val="32"/>
        </w:rPr>
        <w:t>大号为250ml(含)以上，中号为200ml(含)至250ml，小号为100ml(含)至200ml。</w:t>
      </w:r>
    </w:p>
    <w:p>
      <w:pPr>
        <w:keepNext w:val="0"/>
        <w:keepLines w:val="0"/>
        <w:pageBreakBefore w:val="0"/>
        <w:kinsoku/>
        <w:wordWrap/>
        <w:overflowPunct/>
        <w:topLinePunct w:val="0"/>
        <w:autoSpaceDE/>
        <w:autoSpaceDN/>
        <w:bidi w:val="0"/>
        <w:adjustRightInd w:val="0"/>
        <w:snapToGrid w:val="0"/>
        <w:spacing w:line="440" w:lineRule="exact"/>
        <w:ind w:firstLine="640"/>
        <w:jc w:val="left"/>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、关于在特定条件下新增第三轮议价谈判的说明</w:t>
      </w:r>
    </w:p>
    <w:p>
      <w:pPr>
        <w:keepNext w:val="0"/>
        <w:keepLines w:val="0"/>
        <w:pageBreakBefore w:val="0"/>
        <w:kinsoku/>
        <w:wordWrap/>
        <w:overflowPunct/>
        <w:topLinePunct w:val="0"/>
        <w:autoSpaceDE/>
        <w:autoSpaceDN/>
        <w:bidi w:val="0"/>
        <w:adjustRightInd w:val="0"/>
        <w:snapToGrid w:val="0"/>
        <w:spacing w:line="440" w:lineRule="exact"/>
        <w:ind w:firstLine="552"/>
        <w:jc w:val="left"/>
        <w:textAlignment w:val="auto"/>
        <w:rPr>
          <w:rFonts w:ascii="仿宋_GB2312" w:eastAsia="仿宋_GB2312"/>
          <w:sz w:val="32"/>
          <w:szCs w:val="32"/>
        </w:rPr>
      </w:pPr>
      <w:r>
        <w:rPr>
          <w:rFonts w:hint="eastAsia" w:ascii="仿宋_GB2312" w:eastAsia="仿宋_GB2312"/>
          <w:sz w:val="32"/>
          <w:szCs w:val="32"/>
        </w:rPr>
        <w:t>根据公平公正的原则，为保证质优价廉的产品中选，两轮评分过后，如果出现入围第二轮的A厂家第二轮加权报价比最终得分第一的B厂家低，且A厂家生产能力比最终得分第一的B厂家强，则启动第三轮议价谈判，由同时满足上述条件的厂家（即：入围第二轮、第二轮加权报价比最终得分第一的厂家低、生产能力比最终得分第一的厂家强，若出现2家同时满足则一并入围）及最终得分第一的厂家参与，进入第</w:t>
      </w:r>
      <w:bookmarkStart w:id="0" w:name="_GoBack"/>
      <w:bookmarkEnd w:id="0"/>
      <w:r>
        <w:rPr>
          <w:rFonts w:hint="eastAsia" w:ascii="仿宋_GB2312" w:eastAsia="仿宋_GB2312"/>
          <w:sz w:val="32"/>
          <w:szCs w:val="32"/>
        </w:rPr>
        <w:t>三轮议价谈判的厂家重新进行加权报价，以第三轮加权报价最低的中选，次低的备选。该情形下，厂家中选后供应价格为第三轮申报报价。</w:t>
      </w:r>
    </w:p>
    <w:p>
      <w:pPr>
        <w:keepNext w:val="0"/>
        <w:keepLines w:val="0"/>
        <w:pageBreakBefore w:val="0"/>
        <w:kinsoku/>
        <w:wordWrap/>
        <w:overflowPunct/>
        <w:topLinePunct w:val="0"/>
        <w:autoSpaceDE/>
        <w:autoSpaceDN/>
        <w:bidi w:val="0"/>
        <w:adjustRightInd w:val="0"/>
        <w:snapToGrid w:val="0"/>
        <w:spacing w:line="440" w:lineRule="exact"/>
        <w:ind w:firstLine="552"/>
        <w:jc w:val="left"/>
        <w:textAlignment w:val="auto"/>
        <w:rPr>
          <w:rFonts w:ascii="仿宋_GB2312" w:eastAsia="仿宋_GB2312"/>
          <w:sz w:val="32"/>
          <w:szCs w:val="32"/>
        </w:rPr>
      </w:pPr>
      <w:r>
        <w:rPr>
          <w:rFonts w:hint="eastAsia" w:ascii="仿宋_GB2312" w:eastAsia="仿宋_GB2312"/>
          <w:sz w:val="32"/>
          <w:szCs w:val="32"/>
        </w:rPr>
        <w:t>厂家第二轮及第三轮加权报价不超过上一轮方为有效报价。</w:t>
      </w:r>
    </w:p>
    <w:p>
      <w:pPr>
        <w:keepNext w:val="0"/>
        <w:keepLines w:val="0"/>
        <w:pageBreakBefore w:val="0"/>
        <w:kinsoku/>
        <w:wordWrap/>
        <w:overflowPunct/>
        <w:topLinePunct w:val="0"/>
        <w:autoSpaceDE/>
        <w:autoSpaceDN/>
        <w:bidi w:val="0"/>
        <w:adjustRightInd w:val="0"/>
        <w:snapToGrid w:val="0"/>
        <w:spacing w:line="440" w:lineRule="exact"/>
        <w:ind w:firstLine="640"/>
        <w:jc w:val="lef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440" w:lineRule="exact"/>
        <w:ind w:firstLine="3200" w:firstLineChars="1000"/>
        <w:jc w:val="left"/>
        <w:textAlignment w:val="auto"/>
        <w:rPr>
          <w:rFonts w:ascii="仿宋_GB2312" w:eastAsia="仿宋_GB2312"/>
          <w:sz w:val="32"/>
          <w:szCs w:val="32"/>
        </w:rPr>
      </w:pPr>
      <w:r>
        <w:rPr>
          <w:rFonts w:hint="eastAsia" w:ascii="仿宋_GB2312" w:eastAsia="仿宋_GB2312"/>
          <w:sz w:val="32"/>
          <w:szCs w:val="32"/>
        </w:rPr>
        <w:t>泉州市医用耗材联合带量采购联盟</w:t>
      </w:r>
    </w:p>
    <w:p>
      <w:pPr>
        <w:keepNext w:val="0"/>
        <w:keepLines w:val="0"/>
        <w:pageBreakBefore w:val="0"/>
        <w:kinsoku/>
        <w:wordWrap/>
        <w:overflowPunct/>
        <w:topLinePunct w:val="0"/>
        <w:autoSpaceDE/>
        <w:autoSpaceDN/>
        <w:bidi w:val="0"/>
        <w:adjustRightInd w:val="0"/>
        <w:snapToGrid w:val="0"/>
        <w:spacing w:line="440" w:lineRule="exact"/>
        <w:ind w:firstLine="4160" w:firstLineChars="1300"/>
        <w:jc w:val="left"/>
        <w:textAlignment w:val="auto"/>
        <w:rPr>
          <w:rFonts w:ascii="仿宋_GB2312" w:eastAsia="仿宋_GB2312"/>
          <w:sz w:val="32"/>
          <w:szCs w:val="32"/>
        </w:rPr>
      </w:pPr>
      <w:r>
        <w:rPr>
          <w:rFonts w:hint="eastAsia" w:ascii="仿宋_GB2312" w:eastAsia="仿宋_GB2312"/>
          <w:sz w:val="32"/>
          <w:szCs w:val="32"/>
        </w:rPr>
        <w:t>2020年11月2日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5F8D"/>
    <w:rsid w:val="00004251"/>
    <w:rsid w:val="00184FE0"/>
    <w:rsid w:val="001B19AF"/>
    <w:rsid w:val="001F211A"/>
    <w:rsid w:val="00227D5E"/>
    <w:rsid w:val="003C2135"/>
    <w:rsid w:val="00546B6A"/>
    <w:rsid w:val="006420DA"/>
    <w:rsid w:val="00644456"/>
    <w:rsid w:val="006902E5"/>
    <w:rsid w:val="00693A16"/>
    <w:rsid w:val="006D16C8"/>
    <w:rsid w:val="006D5F8D"/>
    <w:rsid w:val="00712307"/>
    <w:rsid w:val="00722F56"/>
    <w:rsid w:val="009A16F4"/>
    <w:rsid w:val="00C466F4"/>
    <w:rsid w:val="00C7465F"/>
    <w:rsid w:val="00C927D6"/>
    <w:rsid w:val="00D27ACB"/>
    <w:rsid w:val="00D52DE0"/>
    <w:rsid w:val="00D63475"/>
    <w:rsid w:val="00DD3F9E"/>
    <w:rsid w:val="00FF3041"/>
    <w:rsid w:val="11440B78"/>
    <w:rsid w:val="15252C94"/>
    <w:rsid w:val="1699384B"/>
    <w:rsid w:val="24AE6E69"/>
    <w:rsid w:val="24BE3EA0"/>
    <w:rsid w:val="25B13A27"/>
    <w:rsid w:val="275077EE"/>
    <w:rsid w:val="28A66BFD"/>
    <w:rsid w:val="3C3A0004"/>
    <w:rsid w:val="4374642C"/>
    <w:rsid w:val="4BE11FAF"/>
    <w:rsid w:val="590F17F8"/>
    <w:rsid w:val="5AEC227B"/>
    <w:rsid w:val="663B7807"/>
    <w:rsid w:val="71024699"/>
    <w:rsid w:val="744B742C"/>
    <w:rsid w:val="7CF77EF3"/>
    <w:rsid w:val="7E2050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165</Words>
  <Characters>945</Characters>
  <Lines>7</Lines>
  <Paragraphs>2</Paragraphs>
  <TotalTime>114</TotalTime>
  <ScaleCrop>false</ScaleCrop>
  <LinksUpToDate>false</LinksUpToDate>
  <CharactersWithSpaces>1108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2020-10-23T09:38:00Z</dcterms:created>
  <dc:creator>ywkzzn</dc:creator>
  <cp:lastModifiedBy>林佐治</cp:lastModifiedBy>
  <cp:lastPrinted>2020-11-03T01:57:25Z</cp:lastPrinted>
  <dcterms:modified xsi:type="dcterms:W3CDTF">2020-11-03T02:00:22Z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