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0F1115"/>
          <w:spacing w:val="0"/>
          <w:sz w:val="44"/>
          <w:szCs w:val="44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供应商承诺函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致：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南安市医院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我方（以下简称“供应商”）作为贵院医用耗材的供应商，为建立长期、稳定、诚信的合作关系，现就供货产品的质量、价格及信息告知义务等相关事宜，向贵院郑重作出如下承诺：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一、 产品质量保证承诺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供应商保证所供应的所有医用耗材产品（以下简称“产品”）符合中华人民共和国相关国家及行业质量标准、技术规范，以及产品注册或备案标准。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供应商保证产品来源合法、渠道清晰，具备完整的生产资质、经营资质及产品注册/备案证明文件，并保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证产品有效期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6个月以上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供应商保证所供产品包装完好、标识清晰，随货提供必要的质量检验报告、合格证明等文件。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如因产品质量问题导致贵院或第三方遭受损失的，供应商将承担全部责任，包括但不限于退货、换货、赔偿损失等，并积极配合贵院及相关部门处理。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二、 产品价格承诺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供应商承诺，提供给贵院的同类产品（同一品牌、同一规格型号）的供货价格，为同期在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泉州市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范围内的最低供货价。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供应商承诺，如在本承诺函有效期内，其在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泉州市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内任何其他医疗机构或采购平台的供货价低于提供给贵院的价格，供应商将在知悉该情况后立即主动书面通知贵院，并自通知之日起，将供给贵院的该产品价格同步调整至该最低价，且该调整具有追溯力，对已发生但未结算的货款同样适用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2" w:firstLineChars="200"/>
        <w:textAlignment w:val="auto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三、 信息告知承诺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供应商承诺，将密切关注相关医药集中采购平台（以下简称“阳光平台”）的信息。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供应商保证，如其供应的任何产品在阳光平台上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备案或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挂网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或价格变动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，供应商将在知晓该信息后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一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周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，以书面形式（包括但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不限于电子邮件、正式函件）主动、及时、准确地将相关情况通知贵院设备科。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在接到供应商关于产品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备案、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挂网或价格变动的正式通知后，双方应积极配合，依法依规及时将采购路径变更至阳光平台。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.存在通知不及时或刻意隐瞒产品已在阳光平台备案、挂网或价格已变动的事实，导致相关产品在阳光平台挂网后，仍通过线下方式向供应商采购该产品的，贵院有权对该部分线下采购的货款不予支付，且供应商无权就此提出任何异议或主张。已支付的，贵院有权要求返还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四、材料真实承诺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1.供应商承诺此次项目的投标资质材料真实有效，如有提供虚假材料或不符合国家相关法律法规的材料，本公司愿意承担所有相应的法律责任。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56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、其他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本承诺函自供应商盖章之日起生效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本承诺函作为双方签订的各类医用耗材采购合同/协议的不可分割的有效组成部分，与主合同具有同等法律效力。如本承诺函内容与主合同约定不一致，以对贵院权益保护更为有利的条款为准。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本承诺函一式两份，贵院与供应商各执一份，具有同等法律效力。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2811" w:firstLineChars="1000"/>
        <w:textAlignment w:val="auto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2811" w:firstLineChars="10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供应商信息：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2514" w:leftChars="1197" w:right="0"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公司名称（盖章）：________________________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法定代表人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或委托代理人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（签字）：___________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联系电话：______________________________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日期：______年______月______日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MTM2NWIwMWJiMGVjN2MwZTNlYjI3YTNiNzkzMTcifQ=="/>
  </w:docVars>
  <w:rsids>
    <w:rsidRoot w:val="7B6B0D6B"/>
    <w:rsid w:val="1B372216"/>
    <w:rsid w:val="1C5D1687"/>
    <w:rsid w:val="2A1F5484"/>
    <w:rsid w:val="6C3F0FBE"/>
    <w:rsid w:val="6F3F3691"/>
    <w:rsid w:val="7B6B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1027</Words>
  <Characters>1117</Characters>
  <Lines>0</Lines>
  <Paragraphs>0</Paragraphs>
  <TotalTime>28</TotalTime>
  <ScaleCrop>false</ScaleCrop>
  <LinksUpToDate>false</LinksUpToDate>
  <CharactersWithSpaces>1121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2025-12-15T05:02:00Z</dcterms:created>
  <dc:creator>Administrator</dc:creator>
  <cp:lastModifiedBy>Sdaring</cp:lastModifiedBy>
  <dcterms:modified xsi:type="dcterms:W3CDTF">2026-03-31T01:52:43Z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F80D9D9946A44D918E47815AE77EAA4A_11</vt:lpwstr>
  </property>
  <property fmtid="{D5CDD505-2E9C-101B-9397-08002B2CF9AE}" pid="4" name="KSOTemplateDocerSaveRecord">
    <vt:lpwstr>eyJoZGlkIjoiZTU5NTZhOWQyMDAzNGUxMTNlMDQ5YWViZDhkZGUyZTAiLCJ1c2VySWQiOiI1MDA0NDAzNjAifQ==</vt:lpwstr>
  </property>
</Properties>
</file>